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1A0" w:rsidRPr="008805A2" w:rsidRDefault="004441A0" w:rsidP="004441A0"/>
    <w:p w:rsidR="004441A0" w:rsidRPr="008805A2" w:rsidRDefault="007D51A6" w:rsidP="007D51A6">
      <w:pPr>
        <w:jc w:val="center"/>
      </w:pPr>
      <w:r>
        <w:rPr>
          <w:noProof/>
        </w:rPr>
        <w:drawing>
          <wp:inline distT="0" distB="0" distL="0" distR="0">
            <wp:extent cx="1647825" cy="164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stsideFullColor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A40" w:rsidRDefault="00BB5A40" w:rsidP="004441A0">
      <w:pPr>
        <w:spacing w:after="0" w:line="276" w:lineRule="auto"/>
        <w:rPr>
          <w:rFonts w:eastAsia="Calibri"/>
          <w:b/>
          <w:bCs w:val="0"/>
          <w:sz w:val="22"/>
          <w:szCs w:val="22"/>
        </w:rPr>
      </w:pPr>
    </w:p>
    <w:p w:rsidR="007D56D3" w:rsidRPr="007D56D3" w:rsidRDefault="007D56D3" w:rsidP="007D56D3">
      <w:pPr>
        <w:spacing w:after="0" w:line="240" w:lineRule="auto"/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</w:pPr>
      <w:proofErr w:type="spellStart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>Política</w:t>
      </w:r>
      <w:proofErr w:type="spellEnd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 xml:space="preserve"> de </w:t>
      </w:r>
      <w:proofErr w:type="spellStart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>participación</w:t>
      </w:r>
      <w:proofErr w:type="spellEnd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 xml:space="preserve"> familiar de la </w:t>
      </w:r>
      <w:proofErr w:type="spellStart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>escuela</w:t>
      </w:r>
      <w:proofErr w:type="spellEnd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>secundaria</w:t>
      </w:r>
      <w:proofErr w:type="spellEnd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 xml:space="preserve"> Westside</w:t>
      </w:r>
    </w:p>
    <w:p w:rsidR="007D56D3" w:rsidRPr="007D56D3" w:rsidRDefault="007D56D3" w:rsidP="007D56D3">
      <w:pPr>
        <w:spacing w:after="0" w:line="240" w:lineRule="auto"/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</w:pPr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>2024-2025</w:t>
      </w:r>
    </w:p>
    <w:p w:rsidR="004441A0" w:rsidRPr="005E6A89" w:rsidRDefault="007D56D3" w:rsidP="007D56D3">
      <w:pPr>
        <w:spacing w:after="0" w:line="240" w:lineRule="auto"/>
        <w:rPr>
          <w:rFonts w:asciiTheme="majorHAnsi" w:eastAsia="Calibri" w:hAnsiTheme="majorHAnsi" w:cstheme="majorHAnsi"/>
          <w:b/>
          <w:bCs w:val="0"/>
          <w:sz w:val="24"/>
          <w:szCs w:val="24"/>
        </w:rPr>
      </w:pPr>
      <w:proofErr w:type="spellStart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>Fecha</w:t>
      </w:r>
      <w:proofErr w:type="spellEnd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 xml:space="preserve"> de </w:t>
      </w:r>
      <w:proofErr w:type="spellStart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>revisión</w:t>
      </w:r>
      <w:proofErr w:type="spellEnd"/>
      <w:r w:rsidRPr="007D56D3">
        <w:rPr>
          <w:rFonts w:asciiTheme="majorHAnsi" w:eastAsia="Calibri" w:hAnsiTheme="majorHAnsi" w:cstheme="majorHAnsi"/>
          <w:b/>
          <w:bCs w:val="0"/>
          <w:color w:val="323E4F" w:themeColor="text2" w:themeShade="BF"/>
          <w:sz w:val="24"/>
          <w:szCs w:val="24"/>
        </w:rPr>
        <w:t xml:space="preserve"> 07/01/2025</w:t>
      </w:r>
    </w:p>
    <w:p w:rsidR="004441A0" w:rsidRPr="005E6A89" w:rsidRDefault="007D56D3" w:rsidP="004441A0">
      <w:pPr>
        <w:spacing w:after="0" w:line="276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Para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apoyar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el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fortalecimiento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del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rendimiento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académico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 los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estudiantes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, Westside Middle School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recibe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fondos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del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Título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I y, por lo tanto, debe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desarrollar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,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acordar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y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distribuir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conjuntamente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a los padres y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familiares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 los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niños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participantes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una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política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escrita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participación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 padres y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familias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que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contenga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la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información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requerida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por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cada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Ley de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Éxito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Estudiantil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(ESSA). La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política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establece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las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expectativas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 la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escuela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para la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participación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 los padres y la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familia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y describe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cómo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la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escuela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implementará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una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serie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actividades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específicas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participación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de los padres y la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familia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, y se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incorpora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al plan de la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escuela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presentado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al </w:t>
      </w:r>
      <w:proofErr w:type="spellStart"/>
      <w:r w:rsidRPr="007D56D3">
        <w:rPr>
          <w:rFonts w:asciiTheme="majorHAnsi" w:eastAsia="Calibri" w:hAnsiTheme="majorHAnsi" w:cstheme="majorHAnsi"/>
          <w:iCs/>
          <w:sz w:val="24"/>
          <w:szCs w:val="24"/>
        </w:rPr>
        <w:t>distrito</w:t>
      </w:r>
      <w:proofErr w:type="spellEnd"/>
      <w:r w:rsidRPr="007D56D3">
        <w:rPr>
          <w:rFonts w:asciiTheme="majorHAnsi" w:eastAsia="Calibri" w:hAnsiTheme="majorHAnsi" w:cstheme="majorHAnsi"/>
          <w:iCs/>
          <w:sz w:val="24"/>
          <w:szCs w:val="24"/>
        </w:rPr>
        <w:t xml:space="preserve"> escolar/LEA.</w:t>
      </w:r>
    </w:p>
    <w:p w:rsidR="004441A0" w:rsidRPr="005E6A89" w:rsidRDefault="004441A0" w:rsidP="004441A0">
      <w:pPr>
        <w:spacing w:after="0" w:line="276" w:lineRule="auto"/>
        <w:rPr>
          <w:rFonts w:asciiTheme="majorHAnsi" w:eastAsia="Calibri" w:hAnsiTheme="majorHAnsi" w:cstheme="majorHAnsi"/>
          <w:iCs/>
          <w:sz w:val="24"/>
          <w:szCs w:val="24"/>
        </w:rPr>
      </w:pPr>
    </w:p>
    <w:p w:rsidR="007D56D3" w:rsidRPr="007D56D3" w:rsidRDefault="007D56D3" w:rsidP="00AF68E8">
      <w:pPr>
        <w:pStyle w:val="ListParagraph"/>
        <w:ind w:left="1080"/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</w:pPr>
      <w:r w:rsidRPr="007D56D3"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  <w:t xml:space="preserve">Westside Middle School </w:t>
      </w:r>
      <w:proofErr w:type="spellStart"/>
      <w:r w:rsidRPr="007D56D3"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  <w:t>aceptará</w:t>
      </w:r>
      <w:proofErr w:type="spellEnd"/>
      <w:r w:rsidRPr="007D56D3"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  <w:t>implementar</w:t>
      </w:r>
      <w:proofErr w:type="spellEnd"/>
      <w:r w:rsidRPr="007D56D3"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  <w:t xml:space="preserve"> los </w:t>
      </w:r>
      <w:proofErr w:type="spellStart"/>
      <w:r w:rsidRPr="007D56D3"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  <w:t>siguientes</w:t>
      </w:r>
      <w:proofErr w:type="spellEnd"/>
      <w:r w:rsidRPr="007D56D3"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  <w:t>requisitos</w:t>
      </w:r>
      <w:proofErr w:type="spellEnd"/>
      <w:r w:rsidRPr="007D56D3"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  <w:t>:</w:t>
      </w:r>
    </w:p>
    <w:p w:rsidR="007D56D3" w:rsidRPr="007D56D3" w:rsidRDefault="007D56D3" w:rsidP="007D56D3">
      <w:pPr>
        <w:pStyle w:val="ListParagraph"/>
        <w:numPr>
          <w:ilvl w:val="0"/>
          <w:numId w:val="17"/>
        </w:numPr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</w:pPr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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Involucrar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a las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, de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manera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organizada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, continua y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oportuna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en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la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planificación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revisión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y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mejora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los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programas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bajo el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Título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I,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incluida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la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planificación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revisión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y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mejora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la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política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escolar de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participación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padres y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y el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desarrollo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conjunto del plan de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mejora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escolar.</w:t>
      </w:r>
    </w:p>
    <w:p w:rsidR="007D56D3" w:rsidRPr="007D56D3" w:rsidRDefault="007D56D3" w:rsidP="007D56D3">
      <w:pPr>
        <w:pStyle w:val="ListParagraph"/>
        <w:numPr>
          <w:ilvl w:val="0"/>
          <w:numId w:val="17"/>
        </w:numPr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</w:pPr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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Actualizar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periódicamente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la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política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participación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padres y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la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escuela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para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satisfacer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las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necesidades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cambiantes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las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y la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escuela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distribuirla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a las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los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niños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participantes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y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poner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la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política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participación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padres y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a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disposición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la </w:t>
      </w:r>
      <w:proofErr w:type="spellStart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comunidad</w:t>
      </w:r>
      <w:proofErr w:type="spellEnd"/>
      <w:r w:rsidRPr="007D56D3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local. </w:t>
      </w:r>
    </w:p>
    <w:p w:rsidR="007D56D3" w:rsidRPr="007D56D3" w:rsidRDefault="007D56D3" w:rsidP="007D56D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Brindar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oportunidades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completas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para la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participación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con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dominio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limitado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del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inglés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con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discapacidades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y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niños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migratorios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incluido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el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suministro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información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e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informes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escolares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un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formato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lastRenderedPageBreak/>
        <w:t>comprensible</w:t>
      </w:r>
      <w:proofErr w:type="spellEnd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 xml:space="preserve"> y </w:t>
      </w:r>
      <w:proofErr w:type="spellStart"/>
      <w:r w:rsidRPr="00AF68E8">
        <w:rPr>
          <w:rFonts w:asciiTheme="majorHAnsi" w:eastAsia="Calibri" w:hAnsiTheme="majorHAnsi" w:cstheme="majorHAnsi"/>
          <w:iCs/>
          <w:color w:val="323E4F" w:themeColor="text2" w:themeShade="BF"/>
          <w:sz w:val="24"/>
          <w:szCs w:val="24"/>
        </w:rPr>
        <w:t>uniforme</w:t>
      </w:r>
      <w:proofErr w:type="spellEnd"/>
      <w:r w:rsidRPr="007D56D3">
        <w:rPr>
          <w:rFonts w:asciiTheme="majorHAnsi" w:eastAsia="Calibri" w:hAnsiTheme="majorHAnsi" w:cstheme="majorHAnsi"/>
          <w:b/>
          <w:iCs/>
          <w:color w:val="323E4F" w:themeColor="text2" w:themeShade="BF"/>
          <w:sz w:val="24"/>
          <w:szCs w:val="24"/>
        </w:rPr>
        <w:t>.</w:t>
      </w:r>
      <w:r w:rsidRPr="007D56D3"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incluyendo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formatos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alternativos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pedido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y,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medida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lo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posible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varios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idiomas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que las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puedan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entender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>.</w:t>
      </w:r>
    </w:p>
    <w:p w:rsidR="007D56D3" w:rsidRPr="007D56D3" w:rsidRDefault="007D56D3" w:rsidP="007D56D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7D56D3">
        <w:rPr>
          <w:rFonts w:asciiTheme="majorHAnsi" w:hAnsiTheme="majorHAnsi" w:cstheme="majorHAnsi"/>
          <w:sz w:val="24"/>
          <w:szCs w:val="24"/>
        </w:rPr>
        <w:t xml:space="preserve"> Si el plan de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mejora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escolar no es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satisfactorio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para las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los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niños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participantes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envíe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cualquier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comentario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familiar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sobre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el plan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cuando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escuela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lo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ponga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disposición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la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agencia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educativa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local. </w:t>
      </w:r>
    </w:p>
    <w:p w:rsidR="007D56D3" w:rsidRPr="007D56D3" w:rsidRDefault="007D56D3" w:rsidP="007D56D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7D56D3">
        <w:rPr>
          <w:rFonts w:asciiTheme="majorHAnsi" w:hAnsiTheme="majorHAnsi" w:cstheme="majorHAnsi"/>
          <w:sz w:val="24"/>
          <w:szCs w:val="24"/>
        </w:rPr>
        <w:t xml:space="preserve"> Se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regirán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por la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siguiente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definición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estatutaria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participación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padres y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llevarán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cabo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programas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actividades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procedimientos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acuerdo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esta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definición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7D56D3" w:rsidRPr="007D56D3" w:rsidRDefault="007D56D3" w:rsidP="007D56D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Participación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padres y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significa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participación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las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una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comunicación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regular,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bidireccional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significativa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que involucre el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aprendizaje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académico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los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estudiantes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otras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actividades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escolares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incluyendo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garantizar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>:</w:t>
      </w:r>
    </w:p>
    <w:p w:rsidR="007D56D3" w:rsidRPr="007D56D3" w:rsidRDefault="007D56D3" w:rsidP="007D56D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7D56D3">
        <w:rPr>
          <w:rFonts w:asciiTheme="majorHAnsi" w:hAnsiTheme="majorHAnsi" w:cstheme="majorHAnsi"/>
          <w:sz w:val="24"/>
          <w:szCs w:val="24"/>
        </w:rPr>
        <w:t xml:space="preserve"> las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desempeñan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papel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integral a la hora de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ayudar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al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aprendizaje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sus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hijos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>;</w:t>
      </w:r>
    </w:p>
    <w:p w:rsidR="007D56D3" w:rsidRPr="007D56D3" w:rsidRDefault="007D56D3" w:rsidP="007D56D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7D56D3">
        <w:rPr>
          <w:rFonts w:asciiTheme="majorHAnsi" w:hAnsiTheme="majorHAnsi" w:cstheme="majorHAnsi"/>
          <w:sz w:val="24"/>
          <w:szCs w:val="24"/>
        </w:rPr>
        <w:t xml:space="preserve"> se anima a las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participar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activamente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educación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sus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hijos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escuela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>;</w:t>
      </w:r>
    </w:p>
    <w:p w:rsidR="004441A0" w:rsidRPr="005E6A89" w:rsidRDefault="007D56D3" w:rsidP="007D56D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sz w:val="24"/>
          <w:szCs w:val="24"/>
        </w:rPr>
      </w:pPr>
      <w:r w:rsidRPr="007D56D3">
        <w:rPr>
          <w:rFonts w:asciiTheme="majorHAnsi" w:hAnsiTheme="majorHAnsi" w:cstheme="majorHAnsi"/>
          <w:sz w:val="24"/>
          <w:szCs w:val="24"/>
        </w:rPr>
        <w:t xml:space="preserve"> las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son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socios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plenos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educación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sus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hijos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están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incluidas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según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corresponda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toma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decisiones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los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comités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asesores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para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ayudar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educación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de sus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hijos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; y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otras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D56D3">
        <w:rPr>
          <w:rFonts w:asciiTheme="majorHAnsi" w:hAnsiTheme="majorHAnsi" w:cstheme="majorHAnsi"/>
          <w:sz w:val="24"/>
          <w:szCs w:val="24"/>
        </w:rPr>
        <w:t>actividades</w:t>
      </w:r>
      <w:proofErr w:type="spellEnd"/>
      <w:r w:rsidRPr="007D56D3">
        <w:rPr>
          <w:rFonts w:asciiTheme="majorHAnsi" w:hAnsiTheme="majorHAnsi" w:cstheme="majorHAnsi"/>
          <w:sz w:val="24"/>
          <w:szCs w:val="24"/>
        </w:rPr>
        <w:t>.</w:t>
      </w:r>
    </w:p>
    <w:p w:rsidR="004441A0" w:rsidRPr="005E6A89" w:rsidRDefault="004441A0" w:rsidP="004441A0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AF68E8" w:rsidRPr="00AF68E8" w:rsidRDefault="00AF68E8" w:rsidP="00AF68E8">
      <w:pPr>
        <w:pStyle w:val="BulletIndented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F68E8">
        <w:rPr>
          <w:rFonts w:asciiTheme="majorHAnsi" w:hAnsiTheme="majorHAnsi" w:cstheme="majorHAnsi"/>
          <w:sz w:val="24"/>
          <w:szCs w:val="24"/>
        </w:rPr>
        <w:t xml:space="preserve">Westside Middle School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tomará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las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siguientes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acciones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involucrar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a las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manera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organizada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continua y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oportuna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planificación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revisión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mejora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los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programas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Título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I,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incluidas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oportunidades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reuniones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periódicas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las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lo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solicitan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para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formular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sugerencias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participar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según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corresponda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decisiones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relacionadas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con la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educación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su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hijo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y responder 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dichas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sugerencias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tan pronto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como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sea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posible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>.</w:t>
      </w:r>
    </w:p>
    <w:p w:rsidR="00AF68E8" w:rsidRPr="00AF68E8" w:rsidRDefault="00AF68E8" w:rsidP="00AF68E8">
      <w:pPr>
        <w:pStyle w:val="BulletIndented"/>
        <w:numPr>
          <w:ilvl w:val="0"/>
          <w:numId w:val="0"/>
        </w:numPr>
        <w:spacing w:after="0" w:line="276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AF68E8" w:rsidRPr="00AF68E8" w:rsidRDefault="00AF68E8" w:rsidP="00AF68E8">
      <w:pPr>
        <w:pStyle w:val="BulletIndented"/>
        <w:numPr>
          <w:ilvl w:val="0"/>
          <w:numId w:val="0"/>
        </w:numPr>
        <w:spacing w:after="0" w:line="276" w:lineRule="auto"/>
        <w:ind w:left="360"/>
        <w:rPr>
          <w:rFonts w:asciiTheme="majorHAnsi" w:hAnsiTheme="majorHAnsi" w:cstheme="majorHAnsi"/>
          <w:b/>
          <w:sz w:val="24"/>
          <w:szCs w:val="24"/>
        </w:rPr>
      </w:pPr>
      <w:r w:rsidRPr="00AF68E8">
        <w:rPr>
          <w:rFonts w:asciiTheme="majorHAnsi" w:hAnsiTheme="majorHAnsi" w:cstheme="majorHAnsi"/>
          <w:b/>
          <w:sz w:val="24"/>
          <w:szCs w:val="24"/>
        </w:rPr>
        <w:t>REUNIÓN ANUAL TÍTULO I</w:t>
      </w:r>
    </w:p>
    <w:p w:rsidR="007E694B" w:rsidRPr="005E6A89" w:rsidRDefault="00AF68E8" w:rsidP="00AF68E8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F68E8">
        <w:rPr>
          <w:rFonts w:asciiTheme="majorHAnsi" w:hAnsiTheme="majorHAnsi" w:cstheme="majorHAnsi"/>
          <w:sz w:val="24"/>
          <w:szCs w:val="24"/>
        </w:rPr>
        <w:t xml:space="preserve">Westside Middle School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tomará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las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siguientes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medidas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llevar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cabo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una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reunión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anual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momento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conveniente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y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alentará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invitará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todas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las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los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niños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participantes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AF68E8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asistir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informarles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sobre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el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programa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Título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I de la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escuela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la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naturaleza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programa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Título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I, los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requisitos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las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la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política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participación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los padres y las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la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escuela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, el plan para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toda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escuela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y el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pacto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entre la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escuela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y los padres.</w:t>
      </w:r>
    </w:p>
    <w:p w:rsidR="00AF68E8" w:rsidRPr="00AF68E8" w:rsidRDefault="00AF68E8" w:rsidP="00AF68E8">
      <w:pPr>
        <w:pStyle w:val="BulletIndented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F68E8">
        <w:rPr>
          <w:rFonts w:asciiTheme="majorHAnsi" w:hAnsiTheme="majorHAnsi" w:cstheme="majorHAnsi"/>
          <w:sz w:val="24"/>
          <w:szCs w:val="24"/>
        </w:rPr>
        <w:t xml:space="preserve"> Los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administradores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y las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Westside School se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reunirán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dos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veces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dentro de los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veinte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días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clases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revisar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revisar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el plan de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participación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familiar y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luego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trimestralmente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durante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todo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el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año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visitarán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revisarán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el plan de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participación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familiar.</w:t>
      </w:r>
    </w:p>
    <w:p w:rsidR="00AF68E8" w:rsidRPr="00AF68E8" w:rsidRDefault="00AF68E8" w:rsidP="00AF68E8">
      <w:pPr>
        <w:pStyle w:val="BulletIndented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F68E8">
        <w:rPr>
          <w:rFonts w:asciiTheme="majorHAnsi" w:hAnsiTheme="majorHAnsi" w:cstheme="majorHAnsi"/>
          <w:sz w:val="24"/>
          <w:szCs w:val="24"/>
        </w:rPr>
        <w:lastRenderedPageBreak/>
        <w:t xml:space="preserve">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También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traeremos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comentarios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e inquietudes de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nuestro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consejo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asesor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padres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durante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este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tiempo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>.</w:t>
      </w:r>
    </w:p>
    <w:p w:rsidR="00AF68E8" w:rsidRPr="00AF68E8" w:rsidRDefault="00AF68E8" w:rsidP="00AF68E8">
      <w:pPr>
        <w:pStyle w:val="BulletIndented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F68E8">
        <w:rPr>
          <w:rFonts w:asciiTheme="majorHAnsi" w:hAnsiTheme="majorHAnsi" w:cstheme="majorHAnsi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También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involucraremos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los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comentarios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e inquietudes de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nuestra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asociación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gobierno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estudiantil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>.</w:t>
      </w:r>
    </w:p>
    <w:p w:rsidR="00BB5A40" w:rsidRPr="005E6A89" w:rsidRDefault="00AF68E8" w:rsidP="00AF68E8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b/>
          <w:iCs/>
          <w:sz w:val="24"/>
          <w:szCs w:val="24"/>
        </w:rPr>
      </w:pPr>
      <w:r w:rsidRPr="00AF68E8">
        <w:rPr>
          <w:rFonts w:asciiTheme="majorHAnsi" w:hAnsiTheme="majorHAnsi" w:cstheme="majorHAnsi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Cualquier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revisión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votará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y se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realizará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estos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sz w:val="24"/>
          <w:szCs w:val="24"/>
        </w:rPr>
        <w:t>momentos</w:t>
      </w:r>
      <w:proofErr w:type="spellEnd"/>
      <w:r w:rsidRPr="00AF68E8">
        <w:rPr>
          <w:rFonts w:asciiTheme="majorHAnsi" w:hAnsiTheme="majorHAnsi" w:cstheme="majorHAnsi"/>
          <w:sz w:val="24"/>
          <w:szCs w:val="24"/>
        </w:rPr>
        <w:t>.</w:t>
      </w:r>
    </w:p>
    <w:p w:rsidR="005E6A89" w:rsidRPr="005E6A89" w:rsidRDefault="005E6A89" w:rsidP="004441A0">
      <w:pPr>
        <w:pStyle w:val="BulletIndented"/>
        <w:numPr>
          <w:ilvl w:val="0"/>
          <w:numId w:val="0"/>
        </w:numPr>
        <w:spacing w:after="0" w:line="276" w:lineRule="auto"/>
        <w:rPr>
          <w:rFonts w:asciiTheme="majorHAnsi" w:hAnsiTheme="majorHAnsi" w:cstheme="majorHAnsi"/>
          <w:b/>
          <w:iCs/>
          <w:sz w:val="24"/>
          <w:szCs w:val="24"/>
        </w:rPr>
      </w:pPr>
    </w:p>
    <w:p w:rsidR="00AF68E8" w:rsidRPr="00AF68E8" w:rsidRDefault="00AF68E8" w:rsidP="00AF68E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rFonts w:asciiTheme="majorHAnsi" w:hAnsiTheme="majorHAnsi" w:cstheme="majorHAnsi"/>
          <w:b/>
          <w:iCs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b/>
          <w:iCs/>
          <w:color w:val="323E4F" w:themeColor="text2" w:themeShade="BF"/>
          <w:sz w:val="24"/>
          <w:szCs w:val="24"/>
        </w:rPr>
        <w:t>COMUNICACIONES</w:t>
      </w:r>
    </w:p>
    <w:p w:rsidR="00AF68E8" w:rsidRPr="00AF68E8" w:rsidRDefault="00AF68E8" w:rsidP="00AF68E8">
      <w:pPr>
        <w:pStyle w:val="BulletIndented"/>
        <w:spacing w:after="0" w:line="276" w:lineRule="auto"/>
        <w:ind w:left="720"/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Westside Middle School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tomará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las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siguientes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medidas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brindarles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a las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de los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niños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participantes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lo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siguiente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:</w:t>
      </w:r>
    </w:p>
    <w:p w:rsidR="00AF68E8" w:rsidRPr="00AF68E8" w:rsidRDefault="00AF68E8" w:rsidP="00AF68E8">
      <w:pPr>
        <w:pStyle w:val="BulletIndented"/>
        <w:spacing w:after="0" w:line="276" w:lineRule="auto"/>
        <w:ind w:left="720"/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Información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oportuna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sobre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los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programas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Título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I.</w:t>
      </w:r>
    </w:p>
    <w:p w:rsidR="00AF68E8" w:rsidRPr="00AF68E8" w:rsidRDefault="00AF68E8" w:rsidP="00AF68E8">
      <w:pPr>
        <w:pStyle w:val="BulletIndented"/>
        <w:spacing w:after="0" w:line="276" w:lineRule="auto"/>
        <w:ind w:left="720"/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Número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flexible de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reuniones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como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reuniones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por la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mañana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o por la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noche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, y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puede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proporcionar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fondos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del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Título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I,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transporte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cuidado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infantil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o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visitas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domiciliarias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según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dichos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servicios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se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relacionen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con la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participación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de los padres y las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. </w:t>
      </w:r>
    </w:p>
    <w:p w:rsidR="00AF68E8" w:rsidRPr="00AF68E8" w:rsidRDefault="00AF68E8" w:rsidP="00AF68E8">
      <w:pPr>
        <w:pStyle w:val="BulletIndented"/>
        <w:spacing w:after="0" w:line="276" w:lineRule="auto"/>
        <w:ind w:left="720"/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 La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información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relacionada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con la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escuela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y los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programas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para padres,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reuniones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otras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actividades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se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envía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a las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de los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niños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participantes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un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formato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comprensible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uniforme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incluidos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formatos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alternativos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pedido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y,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la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medida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de lo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posible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un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idioma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que las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puedan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entender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:</w:t>
      </w:r>
    </w:p>
    <w:p w:rsidR="00AF68E8" w:rsidRPr="00AF68E8" w:rsidRDefault="00AF68E8" w:rsidP="00AF68E8">
      <w:pPr>
        <w:pStyle w:val="BulletIndented"/>
        <w:spacing w:after="0" w:line="276" w:lineRule="auto"/>
        <w:ind w:left="720"/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Comunicación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de la plaza de padres por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correo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electrónico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mensaje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texto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.</w:t>
      </w:r>
    </w:p>
    <w:p w:rsidR="00AF68E8" w:rsidRPr="00AF68E8" w:rsidRDefault="00AF68E8" w:rsidP="00AF68E8">
      <w:pPr>
        <w:pStyle w:val="BulletIndented"/>
        <w:spacing w:after="0" w:line="276" w:lineRule="auto"/>
        <w:ind w:left="720"/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Folletos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enviados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través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estudiantes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.</w:t>
      </w:r>
    </w:p>
    <w:p w:rsidR="00AF68E8" w:rsidRPr="00AF68E8" w:rsidRDefault="00AF68E8" w:rsidP="00AF68E8">
      <w:pPr>
        <w:pStyle w:val="BulletIndented"/>
        <w:spacing w:after="0" w:line="276" w:lineRule="auto"/>
        <w:ind w:left="720"/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Folletos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entregados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través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de carlines. </w:t>
      </w:r>
    </w:p>
    <w:p w:rsidR="005E6A89" w:rsidRPr="00AF68E8" w:rsidRDefault="00AF68E8" w:rsidP="00AF68E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rFonts w:asciiTheme="majorHAnsi" w:hAnsiTheme="majorHAnsi" w:cstheme="majorHAnsi"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 Personal de WSM con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invitaciones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a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llamadas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telefónicas</w:t>
      </w:r>
      <w:proofErr w:type="spellEnd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iCs/>
          <w:color w:val="323E4F" w:themeColor="text2" w:themeShade="BF"/>
          <w:sz w:val="24"/>
          <w:szCs w:val="24"/>
        </w:rPr>
        <w:t>personales</w:t>
      </w:r>
      <w:proofErr w:type="spellEnd"/>
    </w:p>
    <w:p w:rsidR="00AF68E8" w:rsidRPr="00AF68E8" w:rsidRDefault="00AF68E8" w:rsidP="00AF68E8">
      <w:pPr>
        <w:spacing w:after="0" w:line="276" w:lineRule="auto"/>
        <w:rPr>
          <w:rFonts w:asciiTheme="majorHAnsi" w:hAnsiTheme="majorHAnsi" w:cstheme="majorHAnsi"/>
          <w:b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b/>
          <w:color w:val="323E4F" w:themeColor="text2" w:themeShade="BF"/>
          <w:sz w:val="24"/>
          <w:szCs w:val="24"/>
        </w:rPr>
        <w:t>COMPONENTE DE LA POLÍTICA DE PARTICIPACIÓN DE PADRES Y FAMILIAS EN LA ESCUELA DISCRECIONAL</w:t>
      </w:r>
    </w:p>
    <w:p w:rsidR="00AF68E8" w:rsidRPr="00AF68E8" w:rsidRDefault="00AF68E8" w:rsidP="00AF68E8">
      <w:pPr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color w:val="323E4F" w:themeColor="text2" w:themeShade="BF"/>
          <w:sz w:val="24"/>
          <w:szCs w:val="24"/>
        </w:rPr>
      </w:pPr>
      <w:bookmarkStart w:id="0" w:name="_GoBack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Proporcionar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capacitación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alfabetización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necesaria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para las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con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fondos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del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Título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I,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Parte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si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escuela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ha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agotado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todas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las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demás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fuentes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financiamiento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razonablemente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disponibles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esa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capacitación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.</w:t>
      </w:r>
    </w:p>
    <w:p w:rsidR="00AF68E8" w:rsidRPr="00AF68E8" w:rsidRDefault="00AF68E8" w:rsidP="00AF68E8">
      <w:pPr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Pagar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los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gastos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razonables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necesarios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asociados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con las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actividades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locales de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participación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padres y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incluidos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los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costos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transporte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cuidado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infantil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, para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permitir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que las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participen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reuniones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sesiones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capacitación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relacionadas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con la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escuela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.</w:t>
      </w:r>
    </w:p>
    <w:p w:rsidR="00AF68E8" w:rsidRPr="00AF68E8" w:rsidRDefault="00AF68E8" w:rsidP="00AF68E8">
      <w:pPr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Capacitar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a las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mejorar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participación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otras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.</w:t>
      </w:r>
    </w:p>
    <w:p w:rsidR="00AF68E8" w:rsidRPr="00AF68E8" w:rsidRDefault="00AF68E8" w:rsidP="00AF68E8">
      <w:pPr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 Para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maximizar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el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compromiso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y la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participación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los padres y las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educación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sus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hijos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organice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reuniones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escolares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una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variedad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horarios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o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realice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conferencias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el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hogar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con maestros u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otros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educadores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que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trabajan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directamente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con los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niños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participantes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y las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que no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pueden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asistir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a las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conferencias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escuela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.</w:t>
      </w:r>
    </w:p>
    <w:p w:rsidR="00AF68E8" w:rsidRPr="00AF68E8" w:rsidRDefault="00AF68E8" w:rsidP="00AF68E8">
      <w:pPr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Adoptar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e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implementar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enfoques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modelo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mejorar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participación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los padres y la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familia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. </w:t>
      </w:r>
    </w:p>
    <w:p w:rsidR="00AF68E8" w:rsidRPr="00AF68E8" w:rsidRDefault="00AF68E8" w:rsidP="00AF68E8">
      <w:pPr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color w:val="323E4F" w:themeColor="text2" w:themeShade="BF"/>
          <w:sz w:val="24"/>
          <w:szCs w:val="24"/>
        </w:rPr>
      </w:pPr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lastRenderedPageBreak/>
        <w:t xml:space="preserve">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Establecer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un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consejo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asesor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padres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todo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el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distrito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brindar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asesoramiento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sobre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todos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los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asuntos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relacionados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con la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participación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los padres y las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los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programas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del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Título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I,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Parte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A.</w:t>
      </w:r>
    </w:p>
    <w:p w:rsidR="0045414B" w:rsidRPr="00AF68E8" w:rsidRDefault="00AF68E8" w:rsidP="00AF68E8">
      <w:pPr>
        <w:numPr>
          <w:ilvl w:val="0"/>
          <w:numId w:val="13"/>
        </w:num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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Desarrollar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roles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apropiados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para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organizaciones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y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empresas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comunitarias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incluidas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organizaciones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religiosas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,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en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actividades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</w:t>
      </w:r>
      <w:proofErr w:type="spell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participación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de padres y </w:t>
      </w:r>
      <w:proofErr w:type="spellStart"/>
      <w:proofErr w:type="gramStart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familias</w:t>
      </w:r>
      <w:proofErr w:type="spellEnd"/>
      <w:r w:rsidRPr="00AF68E8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>.</w:t>
      </w:r>
      <w:r w:rsidR="004441A0" w:rsidRPr="00AF68E8">
        <w:rPr>
          <w:rFonts w:asciiTheme="majorHAnsi" w:eastAsia="Times New Roman" w:hAnsiTheme="majorHAnsi" w:cstheme="majorHAnsi"/>
          <w:sz w:val="24"/>
          <w:szCs w:val="24"/>
        </w:rPr>
        <w:t>.</w:t>
      </w:r>
      <w:proofErr w:type="gramEnd"/>
      <w:r w:rsidR="004441A0" w:rsidRPr="00AF68E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bookmarkEnd w:id="0"/>
    </w:p>
    <w:sectPr w:rsidR="0045414B" w:rsidRPr="00AF6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mianSlabSerifTypeface">
    <w:altName w:val="Calibri"/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4E45"/>
    <w:multiLevelType w:val="hybridMultilevel"/>
    <w:tmpl w:val="F41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7D15"/>
    <w:multiLevelType w:val="hybridMultilevel"/>
    <w:tmpl w:val="A282F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419CC"/>
    <w:multiLevelType w:val="hybridMultilevel"/>
    <w:tmpl w:val="9FD8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218A4"/>
    <w:multiLevelType w:val="hybridMultilevel"/>
    <w:tmpl w:val="DCF09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F5030A"/>
    <w:multiLevelType w:val="hybridMultilevel"/>
    <w:tmpl w:val="86F8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B0762"/>
    <w:multiLevelType w:val="hybridMultilevel"/>
    <w:tmpl w:val="B3DA22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3F43A4"/>
    <w:multiLevelType w:val="hybridMultilevel"/>
    <w:tmpl w:val="99E430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BC5F9E"/>
    <w:multiLevelType w:val="hybridMultilevel"/>
    <w:tmpl w:val="09E4CC8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9F40CF"/>
    <w:multiLevelType w:val="hybridMultilevel"/>
    <w:tmpl w:val="E6A86978"/>
    <w:lvl w:ilvl="0" w:tplc="86BC4394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Open Sans" w:hAnsi="Open Sans" w:cs="Open San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4BE755D"/>
    <w:multiLevelType w:val="hybridMultilevel"/>
    <w:tmpl w:val="983CC494"/>
    <w:lvl w:ilvl="0" w:tplc="1604187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00B0C77"/>
    <w:multiLevelType w:val="hybridMultilevel"/>
    <w:tmpl w:val="C3123598"/>
    <w:lvl w:ilvl="0" w:tplc="668C8C1A">
      <w:start w:val="1"/>
      <w:numFmt w:val="bullet"/>
      <w:pStyle w:val="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1178B3"/>
    <w:multiLevelType w:val="hybridMultilevel"/>
    <w:tmpl w:val="8CF07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4B784D"/>
    <w:multiLevelType w:val="hybridMultilevel"/>
    <w:tmpl w:val="E716DE5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0042FC"/>
    <w:multiLevelType w:val="hybridMultilevel"/>
    <w:tmpl w:val="1F0EAC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844C6C"/>
    <w:multiLevelType w:val="hybridMultilevel"/>
    <w:tmpl w:val="37C6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52841"/>
    <w:multiLevelType w:val="hybridMultilevel"/>
    <w:tmpl w:val="F45638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FF0AAB"/>
    <w:multiLevelType w:val="hybridMultilevel"/>
    <w:tmpl w:val="FAD2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6"/>
  </w:num>
  <w:num w:numId="11">
    <w:abstractNumId w:val="11"/>
  </w:num>
  <w:num w:numId="12">
    <w:abstractNumId w:val="2"/>
  </w:num>
  <w:num w:numId="13">
    <w:abstractNumId w:val="12"/>
  </w:num>
  <w:num w:numId="14">
    <w:abstractNumId w:val="5"/>
  </w:num>
  <w:num w:numId="15">
    <w:abstractNumId w:val="13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4B"/>
    <w:rsid w:val="00073F52"/>
    <w:rsid w:val="001F7AB7"/>
    <w:rsid w:val="00250B8B"/>
    <w:rsid w:val="002E77E8"/>
    <w:rsid w:val="00391093"/>
    <w:rsid w:val="003950DA"/>
    <w:rsid w:val="004441A0"/>
    <w:rsid w:val="0045414B"/>
    <w:rsid w:val="004803CF"/>
    <w:rsid w:val="005E6A89"/>
    <w:rsid w:val="00674D4C"/>
    <w:rsid w:val="006F56C7"/>
    <w:rsid w:val="0070418D"/>
    <w:rsid w:val="007B095D"/>
    <w:rsid w:val="007D51A6"/>
    <w:rsid w:val="007D56D3"/>
    <w:rsid w:val="007E694B"/>
    <w:rsid w:val="00831914"/>
    <w:rsid w:val="00AF68E8"/>
    <w:rsid w:val="00B42F39"/>
    <w:rsid w:val="00B704BC"/>
    <w:rsid w:val="00BB5A40"/>
    <w:rsid w:val="00BD1080"/>
    <w:rsid w:val="00CB7CF6"/>
    <w:rsid w:val="00D35D72"/>
    <w:rsid w:val="00DA1D0D"/>
    <w:rsid w:val="00DF4EAE"/>
    <w:rsid w:val="00E641E6"/>
    <w:rsid w:val="00F4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834F"/>
  <w15:chartTrackingRefBased/>
  <w15:docId w15:val="{CC28862E-23E9-40F7-B573-D97433DA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14B"/>
    <w:pPr>
      <w:spacing w:after="360" w:line="300" w:lineRule="auto"/>
    </w:pPr>
    <w:rPr>
      <w:rFonts w:ascii="Open Sans" w:hAnsi="Open Sans" w:cs="Open Sans"/>
      <w:b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14B"/>
    <w:pPr>
      <w:spacing w:after="120" w:line="240" w:lineRule="auto"/>
      <w:outlineLvl w:val="0"/>
    </w:pPr>
    <w:rPr>
      <w:rFonts w:ascii="PermianSlabSerifTypeface" w:hAnsi="PermianSlabSerifTypeface"/>
      <w:b/>
      <w:color w:val="75787B"/>
      <w:spacing w:val="-20"/>
      <w:sz w:val="44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1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14B"/>
    <w:rPr>
      <w:rFonts w:ascii="PermianSlabSerifTypeface" w:hAnsi="PermianSlabSerifTypeface" w:cs="Open Sans"/>
      <w:b/>
      <w:bCs/>
      <w:color w:val="75787B"/>
      <w:spacing w:val="-20"/>
      <w:sz w:val="4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54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14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14B"/>
    <w:rPr>
      <w:rFonts w:ascii="Open Sans" w:hAnsi="Open Sans" w:cs="Open Sans"/>
      <w:bCs/>
      <w:sz w:val="21"/>
      <w:szCs w:val="20"/>
    </w:rPr>
  </w:style>
  <w:style w:type="paragraph" w:styleId="BodyText">
    <w:name w:val="Body Text"/>
    <w:basedOn w:val="Normal"/>
    <w:link w:val="BodyTextChar"/>
    <w:rsid w:val="0045414B"/>
    <w:pPr>
      <w:spacing w:after="0" w:line="240" w:lineRule="auto"/>
    </w:pPr>
    <w:rPr>
      <w:rFonts w:ascii="Times New Roman" w:eastAsia="Times New Roman" w:hAnsi="Times New Roman" w:cs="Times New Roman"/>
      <w:b/>
      <w:bCs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5414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ulletIndented">
    <w:name w:val="Bullet Indented"/>
    <w:rsid w:val="0045414B"/>
    <w:pPr>
      <w:numPr>
        <w:numId w:val="1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45414B"/>
    <w:pPr>
      <w:spacing w:after="120" w:line="240" w:lineRule="auto"/>
      <w:ind w:left="360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541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14B"/>
    <w:rPr>
      <w:rFonts w:ascii="Segoe UI" w:hAnsi="Segoe UI" w:cs="Segoe UI"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1A0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44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 Obermiller</dc:creator>
  <cp:keywords/>
  <dc:description/>
  <cp:lastModifiedBy>Althea Brown</cp:lastModifiedBy>
  <cp:revision>2</cp:revision>
  <cp:lastPrinted>2025-02-27T16:31:00Z</cp:lastPrinted>
  <dcterms:created xsi:type="dcterms:W3CDTF">2025-02-27T17:35:00Z</dcterms:created>
  <dcterms:modified xsi:type="dcterms:W3CDTF">2025-02-27T17:35:00Z</dcterms:modified>
</cp:coreProperties>
</file>